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851" w:right="0" w:firstLine="851"/>
        <w:jc w:val="center"/>
        <w:spacing w:before="0" w:after="200" w:line="65" w:lineRule="atLeast"/>
        <w:rPr>
          <w:rFonts w:ascii="Times New Roman" w:hAnsi="Times New Roman" w:cs="Times New Roman" w:eastAsia="Times New Roman"/>
          <w:b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ПОВЕРКА КВАРТИРНЫХ СЧЕТЧИКОВ ЭЛЕКТРИЧЕСКОЙ ЭНЕРГИИ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left="0" w:right="0" w:firstLine="0"/>
        <w:jc w:val="both"/>
        <w:spacing w:before="0" w:after="200" w:line="65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center"/>
        <w:spacing w:before="0" w:after="200" w:line="65" w:lineRule="atLeast"/>
        <w:rPr>
          <w:rFonts w:ascii="Times New Roman" w:hAnsi="Times New Roman" w:cs="Times New Roman" w:eastAsia="Times New Roman"/>
          <w:b/>
          <w:color w:val="FF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FF0000"/>
          <w:sz w:val="24"/>
          <w:highlight w:val="none"/>
        </w:rPr>
        <w:t xml:space="preserve">ВНИМАНИЕ! </w:t>
      </w:r>
      <w:r>
        <w:rPr>
          <w:rFonts w:ascii="Times New Roman" w:hAnsi="Times New Roman" w:cs="Times New Roman" w:eastAsia="Times New Roman"/>
          <w:b/>
          <w:color w:val="FF0000"/>
          <w:sz w:val="24"/>
        </w:rPr>
      </w:r>
      <w:r/>
    </w:p>
    <w:p>
      <w:pPr>
        <w:ind w:left="0" w:right="0" w:firstLine="0"/>
        <w:jc w:val="center"/>
        <w:spacing w:before="0" w:after="200" w:line="65" w:lineRule="atLeast"/>
        <w:rPr>
          <w:rFonts w:ascii="Times New Roman" w:hAnsi="Times New Roman" w:cs="Times New Roman" w:eastAsia="Times New Roman"/>
          <w:b/>
          <w:color w:val="FF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FF0000"/>
          <w:sz w:val="24"/>
          <w:highlight w:val="none"/>
        </w:rPr>
        <w:t xml:space="preserve">ПОВЕРКА СЧЕТЧИКОВ ЭЛЕКТРИЧЕСКОЙ ЭНЕРГИИ НА МЕСТЕ ЭКСПЛУАТАЦИИ </w:t>
      </w:r>
      <w:r>
        <w:rPr>
          <w:rFonts w:ascii="Times New Roman" w:hAnsi="Times New Roman" w:cs="Times New Roman" w:eastAsia="Times New Roman"/>
          <w:b/>
          <w:color w:val="FF0000"/>
          <w:sz w:val="24"/>
          <w:highlight w:val="none"/>
        </w:rPr>
        <w:t xml:space="preserve">НЕ ПРОВОДИТСЯ.</w:t>
      </w:r>
      <w:r>
        <w:rPr>
          <w:rFonts w:ascii="Times New Roman" w:hAnsi="Times New Roman" w:cs="Times New Roman" w:eastAsia="Times New Roman"/>
          <w:b/>
          <w:color w:val="FF0000"/>
          <w:sz w:val="24"/>
          <w:highlight w:val="none"/>
        </w:rPr>
      </w:r>
      <w:r/>
    </w:p>
    <w:p>
      <w:pPr>
        <w:ind w:left="0" w:right="0" w:firstLine="708"/>
        <w:jc w:val="both"/>
        <w:spacing w:before="0" w:after="200" w:line="65" w:lineRule="atLeast"/>
        <w:rPr>
          <w:rFonts w:ascii="Times New Roman" w:hAnsi="Times New Roman" w:cs="Times New Roman" w:eastAsia="Times New Rom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Поверка счетчиков электрической энергии проводится только в лабораториях ФБУ «Хабаровский ЦСМ».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1. ДЕМОНТАЖ СЧЕТЧИКА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0" w:right="0" w:firstLine="708"/>
        <w:jc w:val="both"/>
        <w:spacing w:before="0" w:after="200" w:line="65" w:lineRule="atLeast"/>
        <w:rPr>
          <w:rFonts w:ascii="Times New Roman" w:hAnsi="Times New Roman" w:cs="Times New Roman" w:eastAsia="Times New Rom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Для демонтажа счетчика электрической энергии обратитесь в свою Управляющую компанию, или в ТСЖ, или в ресурсоснабжающую организацию.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-143" w:right="0" w:firstLine="851"/>
        <w:jc w:val="both"/>
        <w:spacing w:before="0" w:after="200" w:line="65" w:lineRule="atLeast"/>
        <w:rPr>
          <w:rFonts w:ascii="Times New Roman" w:hAnsi="Times New Roman" w:cs="Times New Roman" w:eastAsia="Times New Rom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Снять счетчик могут только квалифицированные специалисты.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708"/>
        <w:jc w:val="both"/>
        <w:spacing w:before="0" w:after="200" w:line="65" w:lineRule="atLeast"/>
        <w:rPr>
          <w:rFonts w:ascii="Times New Roman" w:hAnsi="Times New Roman" w:cs="Times New Roman" w:eastAsia="Times New Rom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 снятии счетчика специалистом ОБЯЗАТЕЛЬНО составляется АКТ, в котором фиксируют дату снятия прибора и пломб, а также показания прибора на момент снятия.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-851" w:right="0" w:firstLine="851"/>
        <w:jc w:val="both"/>
        <w:spacing w:before="0" w:after="200" w:line="65" w:lineRule="atLeast"/>
        <w:rPr>
          <w:rFonts w:ascii="Times New Roman" w:hAnsi="Times New Roman" w:cs="Times New Roman" w:eastAsia="Times New Rom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НЕ ПЫТАЙТЕСЬ ДЕМОНТИРОВАТЬ СЧЕТЧИК САМОСТОЯТЕЛЬНО. ЭТО ОПАСНО!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-143" w:right="0" w:firstLine="851"/>
        <w:jc w:val="both"/>
        <w:spacing w:before="0" w:after="200" w:line="65" w:lineRule="atLeast"/>
        <w:rPr>
          <w:rFonts w:ascii="Times New Roman" w:hAnsi="Times New Roman" w:cs="Times New Roman" w:eastAsia="Times New Roman"/>
          <w:b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 СД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АТЬ СЧЕТЧИК НА ПОВЕРКУ</w:t>
      </w:r>
      <w:r/>
    </w:p>
    <w:p>
      <w:pPr>
        <w:ind w:left="-143" w:right="0" w:firstLine="851"/>
        <w:jc w:val="both"/>
        <w:spacing w:before="0" w:after="200" w:line="65" w:lineRule="atLeast"/>
        <w:rPr>
          <w:rFonts w:ascii="Times New Roman" w:hAnsi="Times New Roman" w:cs="Times New Roman" w:eastAsia="Times New Roman"/>
          <w:b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Сдать счетчик на поверку </w:t>
      </w:r>
      <w:r>
        <w:rPr>
          <w:rFonts w:ascii="Times New Roman" w:hAnsi="Times New Roman" w:cs="Times New Roman" w:eastAsia="Times New Roman"/>
          <w:sz w:val="24"/>
        </w:rPr>
        <w:t xml:space="preserve">можно </w:t>
      </w:r>
      <w:r>
        <w:rPr>
          <w:rFonts w:ascii="Times New Roman" w:hAnsi="Times New Roman" w:cs="Times New Roman" w:eastAsia="Times New Roman"/>
          <w:sz w:val="24"/>
        </w:rPr>
        <w:t xml:space="preserve">лично</w:t>
      </w:r>
      <w:r>
        <w:rPr>
          <w:rFonts w:ascii="Times New Roman" w:hAnsi="Times New Roman" w:cs="Times New Roman" w:eastAsia="Times New Roman"/>
          <w:sz w:val="24"/>
        </w:rPr>
        <w:t xml:space="preserve"> по одному из адресов</w:t>
      </w:r>
      <w:r>
        <w:rPr>
          <w:rFonts w:ascii="Times New Roman" w:hAnsi="Times New Roman" w:cs="Times New Roman" w:eastAsia="Times New Roman"/>
          <w:sz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г. Хабаровск, ул. Карла Маркса, 65, кабинет 109;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-  г. Хабаровск, ул. Салтыкова-Щедрина, 62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  <w:t xml:space="preserve">каб</w:t>
      </w:r>
      <w:r>
        <w:rPr>
          <w:rFonts w:ascii="Times New Roman" w:hAnsi="Times New Roman" w:cs="Times New Roman" w:eastAsia="Times New Roman"/>
          <w:sz w:val="24"/>
        </w:rPr>
        <w:t xml:space="preserve">.1 (обслуживание физических лиц).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3. 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ОПЛАТИТЬ СЧЕТ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При сдаче счетчика на поверку вам будет выставлен счет для оплаты.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Оплату счета можно осуществить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налич</w:t>
      </w:r>
      <w:r>
        <w:rPr>
          <w:rFonts w:ascii="Times New Roman" w:hAnsi="Times New Roman" w:cs="Times New Roman" w:eastAsia="Times New Roman"/>
          <w:sz w:val="24"/>
        </w:rPr>
        <w:t xml:space="preserve">ными или картой по одному из адресов</w:t>
      </w:r>
      <w:r>
        <w:rPr>
          <w:rFonts w:ascii="Times New Roman" w:hAnsi="Times New Roman" w:cs="Times New Roman" w:eastAsia="Times New Roman"/>
          <w:sz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г. Хабаровск, ул. Карла Маркса, 65, кабинет 109;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-  г. Хабаровск, ул. Салтыкова-Щедрина, 62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  <w:t xml:space="preserve">каб</w:t>
      </w:r>
      <w:r>
        <w:rPr>
          <w:rFonts w:ascii="Times New Roman" w:hAnsi="Times New Roman" w:cs="Times New Roman" w:eastAsia="Times New Roman"/>
          <w:sz w:val="24"/>
        </w:rPr>
        <w:t xml:space="preserve">.1 (обслуживание физических лиц).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Или через мобильное приложение или банкоматы Сбербанка.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Срок оказания услуги по поверке счетчика (зависит от загрузки специалистов):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до 10 дней –для физических лиц;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до 20 дней – для юридических лиц.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4. ПОЛУЧИТЬ РЕЗУЛЬТАТ ПОВЕРКИ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После оказания услуги, вместе с прибором Вам будет выдан </w:t>
      </w:r>
      <w:r>
        <w:rPr>
          <w:rFonts w:ascii="Times New Roman" w:hAnsi="Times New Roman" w:cs="Times New Roman" w:eastAsia="Times New Roman"/>
          <w:sz w:val="24"/>
        </w:rPr>
        <w:t xml:space="preserve">документ подтверждающий проведение поверки (свидетельство о поверке или извещение о непригодности).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Обращаем Ваше внимание, что результаты поверки могут быть как положительными, так и отрицательными</w:t>
      </w:r>
      <w:r>
        <w:rPr>
          <w:rFonts w:ascii="Times New Roman" w:hAnsi="Times New Roman" w:cs="Times New Roman" w:eastAsia="Times New Roman"/>
          <w:sz w:val="24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Сведения во ФГИС Аршин о результатах </w:t>
      </w:r>
      <w:r>
        <w:rPr>
          <w:rFonts w:ascii="Times New Roman" w:hAnsi="Times New Roman" w:cs="Times New Roman" w:eastAsia="Times New Roman"/>
          <w:sz w:val="24"/>
        </w:rPr>
        <w:t xml:space="preserve">поверки будут переданы в течение</w:t>
      </w:r>
      <w:r>
        <w:rPr>
          <w:rFonts w:ascii="Times New Roman" w:hAnsi="Times New Roman" w:cs="Times New Roman" w:eastAsia="Times New Roman"/>
          <w:sz w:val="24"/>
        </w:rPr>
        <w:t xml:space="preserve"> недели.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5. ПРЕДСТАВИТЬ РЕЗУЛЬТАТ ПОВЕРКИ ПО МЕСТУ ТРЕБОВАНИЯ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Сведения о поверке представляются владельцем счетчика в Управляющую компанию, или в ТСЖ, или в ресурсоснабжающую организацию (в зависимости от формы управления многоквартирным домом).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 w:val="0"/>
          <w:sz w:val="24"/>
        </w:rPr>
      </w:pPr>
      <w:r>
        <w:rPr>
          <w:rFonts w:ascii="Times New Roman" w:hAnsi="Times New Roman" w:cs="Times New Roman" w:eastAsia="Times New Roman"/>
          <w:b w:val="0"/>
          <w:sz w:val="24"/>
          <w:highlight w:val="none"/>
        </w:rPr>
        <w:t xml:space="preserve">Монтаж счетчика на месте эксплуатации производится в порядке, аналогичном указанному в п.1.</w:t>
      </w:r>
      <w:r>
        <w:rPr>
          <w:rFonts w:ascii="Times New Roman" w:hAnsi="Times New Roman" w:cs="Times New Roman" w:eastAsia="Times New Roman"/>
          <w:b w:val="0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Информацию связанную с поверкой счетчиков электрической энергии можно получить по телефонам (4212) 453-744 доб.109, +7 924 225 37 44 доб.109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В филиалах поверка счетчиков электрической энергии осуществляется по адресам филиалов (см. раздел КОНТАКТЫ)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-851" w:right="0" w:firstLine="851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isLgl w:val="false"/>
        <w:suff w:val="tab"/>
        <w:lvlText w:val="%1."/>
        <w:lvlJc w:val="left"/>
        <w:pPr/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5">
    <w:name w:val="Heading 1"/>
    <w:basedOn w:val="823"/>
    <w:next w:val="823"/>
    <w:link w:val="64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6">
    <w:name w:val="Heading 1 Char"/>
    <w:basedOn w:val="824"/>
    <w:link w:val="645"/>
    <w:uiPriority w:val="9"/>
    <w:rPr>
      <w:rFonts w:ascii="Arial" w:hAnsi="Arial" w:cs="Arial" w:eastAsia="Arial"/>
      <w:sz w:val="40"/>
      <w:szCs w:val="40"/>
    </w:rPr>
  </w:style>
  <w:style w:type="paragraph" w:styleId="647">
    <w:name w:val="Heading 2"/>
    <w:basedOn w:val="823"/>
    <w:next w:val="823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8">
    <w:name w:val="Heading 2 Char"/>
    <w:basedOn w:val="824"/>
    <w:link w:val="647"/>
    <w:uiPriority w:val="9"/>
    <w:rPr>
      <w:rFonts w:ascii="Arial" w:hAnsi="Arial" w:cs="Arial" w:eastAsia="Arial"/>
      <w:sz w:val="34"/>
    </w:rPr>
  </w:style>
  <w:style w:type="paragraph" w:styleId="649">
    <w:name w:val="Heading 3"/>
    <w:basedOn w:val="823"/>
    <w:next w:val="823"/>
    <w:link w:val="6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0">
    <w:name w:val="Heading 3 Char"/>
    <w:basedOn w:val="824"/>
    <w:link w:val="649"/>
    <w:uiPriority w:val="9"/>
    <w:rPr>
      <w:rFonts w:ascii="Arial" w:hAnsi="Arial" w:cs="Arial" w:eastAsia="Arial"/>
      <w:sz w:val="30"/>
      <w:szCs w:val="30"/>
    </w:rPr>
  </w:style>
  <w:style w:type="paragraph" w:styleId="651">
    <w:name w:val="Heading 4"/>
    <w:basedOn w:val="823"/>
    <w:next w:val="823"/>
    <w:link w:val="6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2">
    <w:name w:val="Heading 4 Char"/>
    <w:basedOn w:val="824"/>
    <w:link w:val="651"/>
    <w:uiPriority w:val="9"/>
    <w:rPr>
      <w:rFonts w:ascii="Arial" w:hAnsi="Arial" w:cs="Arial" w:eastAsia="Arial"/>
      <w:b/>
      <w:bCs/>
      <w:sz w:val="26"/>
      <w:szCs w:val="26"/>
    </w:rPr>
  </w:style>
  <w:style w:type="paragraph" w:styleId="653">
    <w:name w:val="Heading 5"/>
    <w:basedOn w:val="823"/>
    <w:next w:val="823"/>
    <w:link w:val="6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4">
    <w:name w:val="Heading 5 Char"/>
    <w:basedOn w:val="824"/>
    <w:link w:val="653"/>
    <w:uiPriority w:val="9"/>
    <w:rPr>
      <w:rFonts w:ascii="Arial" w:hAnsi="Arial" w:cs="Arial" w:eastAsia="Arial"/>
      <w:b/>
      <w:bCs/>
      <w:sz w:val="24"/>
      <w:szCs w:val="24"/>
    </w:rPr>
  </w:style>
  <w:style w:type="paragraph" w:styleId="655">
    <w:name w:val="Heading 6"/>
    <w:basedOn w:val="823"/>
    <w:next w:val="823"/>
    <w:link w:val="6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6">
    <w:name w:val="Heading 6 Char"/>
    <w:basedOn w:val="824"/>
    <w:link w:val="655"/>
    <w:uiPriority w:val="9"/>
    <w:rPr>
      <w:rFonts w:ascii="Arial" w:hAnsi="Arial" w:cs="Arial" w:eastAsia="Arial"/>
      <w:b/>
      <w:bCs/>
      <w:sz w:val="22"/>
      <w:szCs w:val="22"/>
    </w:rPr>
  </w:style>
  <w:style w:type="paragraph" w:styleId="657">
    <w:name w:val="Heading 7"/>
    <w:basedOn w:val="823"/>
    <w:next w:val="823"/>
    <w:link w:val="6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8">
    <w:name w:val="Heading 7 Char"/>
    <w:basedOn w:val="824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9">
    <w:name w:val="Heading 8"/>
    <w:basedOn w:val="823"/>
    <w:next w:val="823"/>
    <w:link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0">
    <w:name w:val="Heading 8 Char"/>
    <w:basedOn w:val="824"/>
    <w:link w:val="659"/>
    <w:uiPriority w:val="9"/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823"/>
    <w:next w:val="823"/>
    <w:link w:val="6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>
    <w:name w:val="Heading 9 Char"/>
    <w:basedOn w:val="824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663">
    <w:name w:val="List Paragraph"/>
    <w:basedOn w:val="823"/>
    <w:uiPriority w:val="34"/>
    <w:qFormat/>
    <w:pPr>
      <w:contextualSpacing/>
      <w:ind w:left="720"/>
    </w:pPr>
  </w:style>
  <w:style w:type="paragraph" w:styleId="664">
    <w:name w:val="No Spacing"/>
    <w:uiPriority w:val="1"/>
    <w:qFormat/>
    <w:pPr>
      <w:spacing w:before="0" w:after="0" w:line="240" w:lineRule="auto"/>
    </w:pPr>
  </w:style>
  <w:style w:type="paragraph" w:styleId="665">
    <w:name w:val="Title"/>
    <w:basedOn w:val="823"/>
    <w:next w:val="823"/>
    <w:link w:val="6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6">
    <w:name w:val="Title Char"/>
    <w:basedOn w:val="824"/>
    <w:link w:val="665"/>
    <w:uiPriority w:val="10"/>
    <w:rPr>
      <w:sz w:val="48"/>
      <w:szCs w:val="48"/>
    </w:rPr>
  </w:style>
  <w:style w:type="paragraph" w:styleId="667">
    <w:name w:val="Subtitle"/>
    <w:basedOn w:val="823"/>
    <w:next w:val="823"/>
    <w:link w:val="668"/>
    <w:uiPriority w:val="11"/>
    <w:qFormat/>
    <w:pPr>
      <w:spacing w:before="200" w:after="200"/>
    </w:pPr>
    <w:rPr>
      <w:sz w:val="24"/>
      <w:szCs w:val="24"/>
    </w:rPr>
  </w:style>
  <w:style w:type="character" w:styleId="668">
    <w:name w:val="Subtitle Char"/>
    <w:basedOn w:val="824"/>
    <w:link w:val="667"/>
    <w:uiPriority w:val="11"/>
    <w:rPr>
      <w:sz w:val="24"/>
      <w:szCs w:val="24"/>
    </w:rPr>
  </w:style>
  <w:style w:type="paragraph" w:styleId="669">
    <w:name w:val="Quote"/>
    <w:basedOn w:val="823"/>
    <w:next w:val="823"/>
    <w:link w:val="670"/>
    <w:uiPriority w:val="29"/>
    <w:qFormat/>
    <w:pPr>
      <w:ind w:left="720" w:right="720"/>
    </w:pPr>
    <w:rPr>
      <w:i/>
    </w:r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3"/>
    <w:next w:val="823"/>
    <w:link w:val="6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3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4"/>
    <w:link w:val="673"/>
    <w:uiPriority w:val="99"/>
  </w:style>
  <w:style w:type="paragraph" w:styleId="675">
    <w:name w:val="Footer"/>
    <w:basedOn w:val="823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4"/>
    <w:link w:val="675"/>
    <w:uiPriority w:val="99"/>
  </w:style>
  <w:style w:type="paragraph" w:styleId="677">
    <w:name w:val="Caption"/>
    <w:basedOn w:val="823"/>
    <w:next w:val="8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8">
    <w:name w:val="Caption Char"/>
    <w:basedOn w:val="677"/>
    <w:link w:val="675"/>
    <w:uiPriority w:val="99"/>
  </w:style>
  <w:style w:type="table" w:styleId="679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9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0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1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2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3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4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21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4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5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6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7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8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1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2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4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6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7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9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0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1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2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3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4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9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0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1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2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3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4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paragraph" w:styleId="806">
    <w:name w:val="footnote text"/>
    <w:basedOn w:val="823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24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24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qFormat/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 w:customStyle="1">
    <w:name w:val="docdata"/>
    <w:basedOn w:val="823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28">
    <w:name w:val="Normal (Web)"/>
    <w:basedOn w:val="82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6</cp:revision>
  <dcterms:created xsi:type="dcterms:W3CDTF">2021-09-28T23:01:00Z</dcterms:created>
  <dcterms:modified xsi:type="dcterms:W3CDTF">2022-05-23T06:32:59Z</dcterms:modified>
</cp:coreProperties>
</file>